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12" w:rsidRPr="005E2E12" w:rsidRDefault="005E2E12" w:rsidP="005E2E1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2E12">
        <w:rPr>
          <w:rFonts w:ascii="Times New Roman" w:eastAsia="Times New Roman" w:hAnsi="Times New Roman" w:cs="Times New Roman"/>
          <w:color w:val="000000"/>
          <w:sz w:val="18"/>
          <w:szCs w:val="18"/>
        </w:rPr>
        <w:t>The Comptroller’s office does NOT preapprove CPE. As long as the certificate holder demonstrates a good faith effort in matching future potential training to the acceptable course listing below, variances determined as a result of a CPE audit will not cause the individual to lose their active status as a CMFO.</w:t>
      </w:r>
    </w:p>
    <w:p w:rsidR="005E2E12" w:rsidRPr="005E2E12" w:rsidRDefault="005E2E12" w:rsidP="005E2E1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2E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All CPE is to be categorized in two broad categories: Financial (F) and Other (O). Each year at least 16 hours of the CPE obtained must be in the “Financial” category, and no more than 8 hours of the required 24 may be in the “Other” category. </w:t>
      </w:r>
    </w:p>
    <w:p w:rsidR="005E2E12" w:rsidRPr="005E2E12" w:rsidRDefault="005E2E12" w:rsidP="005E2E12">
      <w:pPr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5E2E1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A. Qualified CPE topics and categories:</w:t>
      </w:r>
    </w:p>
    <w:tbl>
      <w:tblPr>
        <w:tblW w:w="4750" w:type="pct"/>
        <w:tblCellSpacing w:w="15" w:type="dxa"/>
        <w:shd w:val="clear" w:color="auto" w:fill="EBB26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7"/>
        <w:gridCol w:w="4518"/>
      </w:tblGrid>
      <w:tr w:rsidR="005E2E12" w:rsidRPr="005E2E12" w:rsidTr="00684E82">
        <w:trPr>
          <w:tblCellSpacing w:w="15" w:type="dxa"/>
        </w:trPr>
        <w:tc>
          <w:tcPr>
            <w:tcW w:w="2500" w:type="pct"/>
            <w:shd w:val="clear" w:color="auto" w:fill="A7C3EB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FINANCIAL</w:t>
            </w:r>
          </w:p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(accounting, auditing, finance related compliance and internal control)</w:t>
            </w:r>
          </w:p>
        </w:tc>
        <w:tc>
          <w:tcPr>
            <w:tcW w:w="2500" w:type="pct"/>
            <w:shd w:val="clear" w:color="auto" w:fill="A7C3EB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accounting principles and standards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acquisitions management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accounting research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business law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accounting systems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compilation and review of financial statements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actuarial techniques and analysis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computer training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analytical procedures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current industry risks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assessment of internal controls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economics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asset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economic/industrial development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audit methodologies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ethics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audit of contract compliance/costs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forensic accounting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audit/evaluation of program results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forensic auditing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audit risk and materiality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human capital management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audit/evaluation standards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industrial engineering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budgeting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information technology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cash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interviewing techniques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compliance with laws and regulations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investigations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computer security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operations research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contracting and procurement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oral and written communications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cost accounting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organizational change management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credit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performance measurement and reporting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data management and analysis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performance improvement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debt collection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principles of leadership, management and supervision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enterprise risk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productivity improvement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auditing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process reengineering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management systems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research methods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planning or analysis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strategic planning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financially related fraud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written communication </w:t>
            </w: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reporting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financial statement analysis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forecasts and projections (within the municipality)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forensic accounting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forensic auditing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government structure, organization and authority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information resources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information systems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information security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internal control and internal control assessment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inventory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investment of public funds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pension and other employee benefits accounting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procurement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property management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public accountability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public administration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public finance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public policy and structure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E2E12" w:rsidRPr="005E2E12" w:rsidTr="00684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E2E1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taxation (related to municipal activities only) </w:t>
            </w:r>
          </w:p>
        </w:tc>
        <w:tc>
          <w:tcPr>
            <w:tcW w:w="0" w:type="auto"/>
            <w:shd w:val="clear" w:color="auto" w:fill="FFFFFF"/>
            <w:hideMark/>
          </w:tcPr>
          <w:p w:rsidR="005E2E12" w:rsidRPr="005E2E12" w:rsidRDefault="005E2E12" w:rsidP="005E2E1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630A2F" w:rsidRDefault="00630A2F">
      <w:bookmarkStart w:id="0" w:name="_GoBack"/>
      <w:bookmarkEnd w:id="0"/>
    </w:p>
    <w:sectPr w:rsidR="0063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12"/>
    <w:rsid w:val="005E2E12"/>
    <w:rsid w:val="006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Burose, Michael</dc:creator>
  <cp:lastModifiedBy>Burose, Michael</cp:lastModifiedBy>
  <cp:revision>1</cp:revision>
  <dcterms:created xsi:type="dcterms:W3CDTF">2015-06-05T15:27:00Z</dcterms:created>
  <dcterms:modified xsi:type="dcterms:W3CDTF">2015-06-05T15:31:00Z</dcterms:modified>
</cp:coreProperties>
</file>